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2023-09-29</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p>
      <w:pPr>
        <w:pStyle w:val="Corpsdetexte"/>
      </w:pPr>
      <w:r>
        <w:rPr>
          <w:bCs/>
          <w:b/>
        </w:rPr>
        <w:t xml:space="preserve">Figure A1</w:t>
      </w:r>
      <w:r>
        <w:t xml:space="preserve">. Carte des limites de la Station de biologie des Laurentides.</w:t>
      </w:r>
    </w:p>
    <w:p>
      <w:pPr>
        <w:pStyle w:val="Corpsdetexte"/>
      </w:pPr>
      <w:r>
        <w:rPr>
          <w:bCs/>
          <w:b/>
        </w:rPr>
        <w:t xml:space="preserve">Figure A2</w:t>
      </w:r>
      <w:r>
        <w:t xml:space="preserve">.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orpsdetexte"/>
      </w:pPr>
      <w:r>
        <w:rPr>
          <w:bCs/>
          <w:b/>
        </w:rPr>
        <w:t xml:space="preserve">Figure A3</w:t>
      </w:r>
      <w:r>
        <w:t xml:space="preserve">. Superficies relatives des espèces d’arbres selon leur communauté, pour trois communautés écoforestières.</w:t>
      </w:r>
    </w:p>
    <w:p>
      <w:pPr>
        <w:pStyle w:val="Corpsdetexte"/>
      </w:pPr>
      <w:r>
        <w:rPr>
          <w:bCs/>
          <w:b/>
        </w:rPr>
        <w:t xml:space="preserve">Figure A4</w:t>
      </w:r>
      <w:r>
        <w:t xml:space="preserve">. Superficies relatives des espèces d’arbres selon leur communauté, pour quatre communautés écoforestières.</w:t>
      </w:r>
    </w:p>
    <w:p>
      <w:pPr>
        <w:pStyle w:val="Corpsdetexte"/>
      </w:pPr>
      <w:r>
        <w:rPr>
          <w:bCs/>
          <w:b/>
        </w:rPr>
        <w:t xml:space="preserve">Figure A5</w:t>
      </w:r>
      <w:r>
        <w:t xml:space="preserve">. Superficies relatives des espèces d’arbres selon leur communauté, pour cinq communautés écoforestières.</w:t>
      </w:r>
    </w:p>
    <w:p>
      <w:pPr>
        <w:pStyle w:val="Corpsdetexte"/>
      </w:pPr>
      <w:r>
        <w:rPr>
          <w:bCs/>
          <w:b/>
        </w:rPr>
        <w:t xml:space="preserve">Figure A6</w:t>
      </w:r>
      <w:r>
        <w:t xml:space="preserve">. Carte des communautés écoforestières de la zone 1 située sur la rive ouest du Lac Croche de la Station de biologie des Laurentides.</w:t>
      </w:r>
    </w:p>
    <w:p>
      <w:pPr>
        <w:pStyle w:val="Corpsdetexte"/>
      </w:pPr>
      <w:r>
        <w:rPr>
          <w:bCs/>
          <w:b/>
        </w:rPr>
        <w:t xml:space="preserve">Figure A7</w:t>
      </w:r>
      <w:r>
        <w:t xml:space="preserve">. Analyse de redondance mettant en relation les données des espèces d’arbres inventoriées au sein des placettes forestières de la zone 1 de la Station de biologie des Laurentides et les variables topographiques (5 variables).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rPr>
          <w:vertAlign w:val="superscript"/>
        </w:rPr>
        <w:t xml:space="preserve">1,2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rPr>
          <w:vertAlign w:val="superscript"/>
        </w:rPr>
        <w:t xml:space="preserve">3</w:t>
      </w:r>
      <w:r>
        <w:t xml:space="preserve">. Au fil du temps, celles-ci laissent place à des espèces plus tolérantes telles que l’érable à sucre et le hêtre à grandes feuilles</w:t>
      </w:r>
      <w:r>
        <w:rPr>
          <w:vertAlign w:val="superscript"/>
        </w:rPr>
        <w:t xml:space="preserve">4,5</w:t>
      </w:r>
      <w:r>
        <w:t xml:space="preserve">. Ce processus conduit à la formation de communautés d’espèces plus matures et stables, qui atteignent finalement un état d’équilibre appelé climax</w:t>
      </w:r>
      <w:r>
        <w:rPr>
          <w:vertAlign w:val="superscript"/>
        </w:rPr>
        <w:t xml:space="preserve">6</w:t>
      </w:r>
      <w:r>
        <w:t xml:space="preserve">. Au Québec, le territoire est séparé en domaines bioclimatiques qui correspondent aux peuplements de fin de succession de milieux mésiques</w:t>
      </w:r>
      <w:r>
        <w:rPr>
          <w:vertAlign w:val="superscript"/>
        </w:rPr>
        <w:t xml:space="preserve">7</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rPr>
          <w:vertAlign w:val="superscript"/>
        </w:rPr>
        <w:t xml:space="preserve">7</w:t>
      </w:r>
      <w:r>
        <w:t xml:space="preserve">. Or, il a été constaté que l’érablière à bouleau jaune n’était pratiquement pas présente sur le territoire</w:t>
      </w:r>
      <w:r>
        <w:rPr>
          <w:vertAlign w:val="superscript"/>
        </w:rPr>
        <w:t xml:space="preserve">8</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rPr>
          <w:vertAlign w:val="superscript"/>
        </w:rPr>
        <w:t xml:space="preserve">8,9</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rPr>
          <w:vertAlign w:val="superscript"/>
        </w:rPr>
        <w:t xml:space="preserve">8</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dans la zone 1 de la Station de biologie des Laurentides</w:t>
      </w:r>
    </w:p>
    <w:tbl>
      <w:tblPr>
        <w:tblStyle w:val="Table"/>
        <w:tblW w:type="auto" w:w="0"/>
        <w:tblLook w:firstRow="1" w:lastRow="0" w:firstColumn="0" w:lastColumn="0" w:noHBand="0" w:noVBand="0" w:val="0020"/>
        <w:jc w:val="start"/>
        <w:tblCaption w:val="Tableau 1 : Espèces présentes dans la zone 1 de la Station de biologie des Laurentides"/>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rPr>
          <w:vertAlign w:val="superscript"/>
        </w:rPr>
        <w:t xml:space="preserve">10</w:t>
      </w:r>
      <w:r>
        <w:t xml:space="preserve">, une orthomosaïque a été générée par mission de vol. Ce produit est « une image unique à haute résolution obtenue par la fusion de toutes les photos collectées lors d’un recensement d’une zone donnée » [traduction libre]</w:t>
      </w:r>
      <w:r>
        <w:rPr>
          <w:vertAlign w:val="superscript"/>
        </w:rPr>
        <w:t xml:space="preserve">11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rPr>
          <w:vertAlign w:val="superscript"/>
        </w:rPr>
        <w:t xml:space="preserve">12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l’aire d’étude considérée se limitera à la zone 1, représentant une superficie d’environ 20 hectares. Après le nettoyage des données, le jeu de données comportant les entités relatives aux polygones des arbres de cette zone compte 9818 lignes et quatre colonnes (Tableau 2). Chaque individu est accompagné d’un identifiant unique, d’un code d’espèce, des coordonnées projetées du polygone (mètres) et de la surface occupée par sa couronne (m</w:t>
      </w:r>
      <w:r>
        <w:rPr>
          <w:vertAlign w:val="superscript"/>
        </w:rPr>
        <w:t xml:space="preserve">2</w:t>
      </w:r>
      <w:r>
        <w:t xml:space="preserve">). Au total, 17 essences d’arbres sont présentes,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 de la Station de biologie des Laurentides</w:t>
      </w:r>
    </w:p>
    <w:tbl>
      <w:tblPr>
        <w:tblStyle w:val="Table"/>
        <w:tblW w:type="auto" w:w="0"/>
        <w:tblLook w:firstRow="1" w:lastRow="0" w:firstColumn="0" w:lastColumn="0" w:noHBand="0" w:noVBand="0" w:val="0020"/>
        <w:jc w:val="start"/>
        <w:tblCaption w:val="Tableau 2 : Polygones des arbres inventoriés dans la zone 1 de la Station de biologie des Laurentides"/>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 20 m à l’aide d’une grille. Cette opération a été effectuée à l’aide d’objets de type « sf » afin de conserver les coordonnées des centroïdes de chacune d’entre elles. Par la suite, un tableau regroupant les placettes ainsi que leurs coordonnées projetées a alors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 Le Tableau 3 présente les coordonnées des placettes forestières.</w:t>
      </w:r>
    </w:p>
    <w:p>
      <w:pPr>
        <w:pStyle w:val="TableCaption"/>
      </w:pPr>
      <w:r>
        <w:t xml:space="preserve">Tableau 3 : Coordonnées projetées des placettes forestières de la zone 1 de la Station de biologie des Laurentides.</w:t>
      </w:r>
    </w:p>
    <w:tbl>
      <w:tblPr>
        <w:tblStyle w:val="Table"/>
        <w:tblW w:type="auto" w:w="0"/>
        <w:tblLook w:firstRow="1" w:lastRow="0" w:firstColumn="0" w:lastColumn="0" w:noHBand="0" w:noVBand="0" w:val="0020"/>
        <w:jc w:val="start"/>
        <w:tblCaption w:val="Tableau 3 : Coordonnées projetées des placettes forestières de la zone 1 de la Station de biologie des Laurentid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 (Tableau 4).</w:t>
      </w:r>
    </w:p>
    <w:p>
      <w:pPr>
        <w:pStyle w:val="TableCaption"/>
      </w:pPr>
      <w:r>
        <w:t xml:space="preserve">Tableau 4 : Composition en espèces des placettes forestières de la zone 1 de la Station de biologie des Laurentides.</w:t>
      </w:r>
    </w:p>
    <w:tbl>
      <w:tblPr>
        <w:tblStyle w:val="Table"/>
        <w:tblW w:type="pct" w:w="5000"/>
        <w:tblLook w:firstRow="1" w:lastRow="0" w:firstColumn="0" w:lastColumn="0" w:noHBand="0" w:noVBand="0" w:val="0020"/>
        <w:jc w:val="start"/>
        <w:tblCaption w:val="Tableau 4 : Composition en espèces des placettes forestières de la zone 1 de la Station de biologie des Laurentid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(mètres), la pente (%), son orientation (représenté par le degré d’exposition vers l’Est et vers le Nord; radians) ainsi que l’indice d’humidité topographique (quantitatif; sans unité). Toutes ces variables sont extraites ou calculées à partir des produits dérivés du LiDAR provenant des données écoforestières du</w:t>
      </w:r>
      <w:r>
        <w:rPr>
          <w:vertAlign w:val="superscript"/>
        </w:rPr>
        <w:t xml:space="preserve">13</w:t>
      </w:r>
      <w:r>
        <w:t xml:space="preserve">;</w:t>
      </w:r>
      <w:r>
        <w:rPr>
          <w:vertAlign w:val="superscript"/>
        </w:rPr>
        <w:t xml:space="preserve">14</w:t>
      </w:r>
      <w:r>
        <w:t xml:space="preserve">. Initialement, elles étaient toutes représentées à l’aide de données matricielles, il a donc été nécessaire d’extraire la moyenne des valeurs de ces variables pour chacune des placettes 20 × 20 m.</w:t>
      </w:r>
    </w:p>
    <w:p>
      <w:pPr>
        <w:pStyle w:val="Corpsdetexte"/>
      </w:pPr>
      <w:r>
        <w:t xml:space="preserve">L’élévation et l’indice d’humidité topographique ont été directement extraits des produits dérivés LiDAR, respectivement du modèle numérique de terrain (MNT) et de l’indice d’humidité topographique (TWI). La pente a été obtenue à l’aide d’une fonction</w:t>
      </w:r>
      <w:r>
        <w:t xml:space="preserve"> </w:t>
      </w:r>
      <w:r>
        <w:rPr>
          <w:iCs/>
          <w:i/>
        </w:rPr>
        <w:t xml:space="preserve">slope</w:t>
      </w:r>
      <w:r>
        <w:rPr>
          <w:vertAlign w:val="superscript"/>
        </w:rPr>
        <w:t xml:space="preserve">15</w:t>
      </w:r>
      <w:r>
        <w:t xml:space="preserve"> </w:t>
      </w:r>
      <w:r>
        <w:t xml:space="preserve">appliquée sur le MNT, donnant alors une pente en degrés (0-360°). Puis, étant donné que les valeurs étaient toutes situées dans le premier quadrant (0-90°), il a été possible de rapporter ces valeurs sur 100 afin d’obtenir un pourcentage d’inclinaison. Concernant les variables d’orientation de pente, les degrés d’exposition (</w:t>
      </w:r>
      <w:r>
        <w:rPr>
          <w:iCs/>
          <w:i/>
        </w:rPr>
        <w:t xml:space="preserve">eastness</w:t>
      </w:r>
      <w:r>
        <w:t xml:space="preserve">/</w:t>
      </w:r>
      <w:r>
        <w:rPr>
          <w:iCs/>
          <w:i/>
        </w:rPr>
        <w:t xml:space="preserve">northness exposure</w:t>
      </w:r>
      <w:r>
        <w:t xml:space="preserve">) découlent directement des variables intermédiaires d’orientation vers l’Est et le Nord (</w:t>
      </w:r>
      <w:r>
        <w:rPr>
          <w:iCs/>
          <w:i/>
        </w:rPr>
        <w:t xml:space="preserve">eastness</w:t>
      </w:r>
      <w:r>
        <w:t xml:space="preserve">/</w:t>
      </w:r>
      <w:r>
        <w:rPr>
          <w:iCs/>
          <w:i/>
        </w:rPr>
        <w:t xml:space="preserve">northness</w:t>
      </w:r>
      <w:r>
        <w:t xml:space="preserve">).</w:t>
      </w:r>
    </w:p>
    <w:p>
      <w:pPr>
        <w:pStyle w:val="Corpsdetexte"/>
      </w:pPr>
      <w:r>
        <w:t xml:space="preserve">Pour ce faire, une fonction</w:t>
      </w:r>
      <w:r>
        <w:t xml:space="preserve"> </w:t>
      </w:r>
      <w:r>
        <w:rPr>
          <w:iCs/>
          <w:i/>
        </w:rPr>
        <w:t xml:space="preserve">aspect</w:t>
      </w:r>
      <w:r>
        <w:rPr>
          <w:vertAlign w:val="superscript"/>
        </w:rPr>
        <w:t xml:space="preserve">15</w:t>
      </w:r>
      <w:r>
        <w:t xml:space="preserve"> </w:t>
      </w:r>
      <w:r>
        <w:t xml:space="preserve">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r>
              <m:t>θ</m:t>
            </m:r>
          </m:e>
        </m:d>
      </m:oMath>
      <w:r>
        <w:t xml:space="preserve"> </w:t>
      </w:r>
      <w:r>
        <w:t xml:space="preserve">et</w:t>
      </w:r>
      <w:r>
        <w:t xml:space="preserve"> </w:t>
      </w:r>
      <m:oMath>
        <m:r>
          <m:t>c</m:t>
        </m:r>
        <m:r>
          <m:t>o</m:t>
        </m:r>
        <m:r>
          <m:t>s</m:t>
        </m:r>
        <m:d>
          <m:dPr>
            <m:begChr m:val="("/>
            <m:endChr m:val=")"/>
            <m:sepChr m:val=""/>
            <m:grow/>
          </m:dPr>
          <m:e>
            <m:r>
              <m:t>θ</m:t>
            </m:r>
          </m:e>
        </m:d>
      </m:oMath>
      <w:r>
        <w:t xml:space="preserve"> </w:t>
      </w:r>
      <w:r>
        <w:t xml:space="preserve">ont ensuite été appliquées sur la variable</w:t>
      </w:r>
      <w:r>
        <w:t xml:space="preserve"> </w:t>
      </w:r>
      <w:r>
        <w:rPr>
          <w:iCs/>
          <w:i/>
        </w:rPr>
        <w:t xml:space="preserve">aspect</w:t>
      </w:r>
      <w:r>
        <w:rPr>
          <w:vertAlign w:val="superscript"/>
        </w:rPr>
        <w:t xml:space="preserve">16</w:t>
      </w:r>
      <w:r>
        <w:t xml:space="preserve">.</w:t>
      </w:r>
    </w:p>
    <w:p>
      <w:pPr>
        <w:pStyle w:val="Corpsdetexte"/>
      </w:pPr>
      <w:r>
        <w:t xml:space="preserve">Les variables</w:t>
      </w:r>
      <w:r>
        <w:t xml:space="preserve"> </w:t>
      </w:r>
      <w:r>
        <w:rPr>
          <w:iCs/>
          <w:i/>
        </w:rPr>
        <w:t xml:space="preserve">eastness</w:t>
      </w:r>
      <w:r>
        <w:t xml:space="preserve"> </w:t>
      </w:r>
      <w:r>
        <w:t xml:space="preserve">et</w:t>
      </w:r>
      <w:r>
        <w:t xml:space="preserve"> </w:t>
      </w:r>
      <w:r>
        <w:rPr>
          <w:iCs/>
          <w:i/>
        </w:rPr>
        <w:t xml:space="preserve">northness</w:t>
      </w:r>
      <w:r>
        <w:t xml:space="preserve"> </w:t>
      </w:r>
      <w:r>
        <w:t xml:space="preserve">ont donc été calculées selon les équations suivantes :</w:t>
      </w:r>
    </w:p>
    <w:p>
      <w:pPr>
        <w:pStyle w:val="Corpsdetexte"/>
      </w:pPr>
      <m:oMathPara>
        <m:oMathParaPr>
          <m:jc m:val="center"/>
        </m:oMathPara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m:oMathPara>
    </w:p>
    <w:p>
      <w:pPr>
        <w:pStyle w:val="FirstParagraph"/>
      </w:pPr>
      <m:oMathPara>
        <m:oMathParaPr>
          <m:jc m:val="center"/>
        </m:oMathParaP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m:oMathPara>
    </w:p>
    <w:p>
      <w:pPr>
        <w:pStyle w:val="FirstParagraph"/>
      </w:pPr>
      <w:r>
        <w:t xml:space="preserve">Puis, celles-ci ont été mises en relation avec la pente en radians afin de mieux représenter la topographie sur le territoire</w:t>
      </w:r>
      <w:r>
        <w:rPr>
          <w:vertAlign w:val="superscript"/>
        </w:rPr>
        <w:t xml:space="preserve">17,18</w:t>
      </w:r>
      <w:r>
        <w:t xml:space="preserve">.</w:t>
      </w:r>
    </w:p>
    <w:p>
      <w:pPr>
        <w:pStyle w:val="Corpsdetexte"/>
      </w:pPr>
      <m:oMathPara>
        <m:oMathParaPr>
          <m:jc m:val="center"/>
        </m:oMathParaPr>
        <m:oMath>
          <m:r>
            <m:t>p</m:t>
          </m:r>
          <m:r>
            <m:t>e</m:t>
          </m:r>
          <m:r>
            <m:t>n</m:t>
          </m:r>
          <m:r>
            <m:t>t</m:t>
          </m:r>
          <m:r>
            <m:t>e</m:t>
          </m:r>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m:oMathPara>
    </w:p>
    <w:p>
      <w:pPr>
        <w:pStyle w:val="FirstParagraph"/>
      </w:pPr>
      <w:r>
        <w:t xml:space="preserve">et</w:t>
      </w:r>
    </w:p>
    <w:p>
      <w:pPr>
        <w:pStyle w:val="Corpsdetexte"/>
      </w:pPr>
      <m:oMathPara>
        <m:oMathParaPr>
          <m:jc m:val="center"/>
        </m:oMathParaP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m:oMathPara>
    </w:p>
    <w:p>
      <w:pPr>
        <w:pStyle w:val="FirstParagraph"/>
      </w:pPr>
      <m:oMathPara>
        <m:oMathParaPr>
          <m:jc m:val="center"/>
        </m:oMathParaP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m:oMathPara>
    </w:p>
    <w:p>
      <w:pPr>
        <w:pStyle w:val="TableCaption"/>
      </w:pPr>
      <w:r>
        <w:t xml:space="preserve">Tableau 5 : Variables topographiques relatives à chacune des placettes forestières de la zone 1 de la Station de biologie des Laurentides.</w:t>
      </w:r>
    </w:p>
    <w:tbl>
      <w:tblPr>
        <w:tblStyle w:val="Table"/>
        <w:tblW w:type="pct" w:w="5000"/>
        <w:tblLook w:firstRow="1" w:lastRow="0" w:firstColumn="0" w:lastColumn="0" w:noHBand="0" w:noVBand="0" w:val="0020"/>
        <w:jc w:val="start"/>
        <w:tblCaption w:val="Tableau 5 : Variables topographiques relatives à chacune des placettes forestières de la zone 1 de la Station de biologie des Laurentid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7" w:name="méthodes"/>
    <w:p>
      <w:pPr>
        <w:pStyle w:val="Titre1"/>
      </w:pPr>
      <w:r>
        <w:t xml:space="preserve">Méthodes</w:t>
      </w:r>
    </w:p>
    <w:bookmarkStart w:id="33"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la matrice des variables topographiques a été centrée-réduite pour rendre leurs dimensions homogènes et, ainsi, permettre la comparaison des variables explicatives entre elles.</w:t>
      </w:r>
    </w:p>
    <w:p>
      <w:pPr>
        <w:pStyle w:val="Corpsdetexte"/>
      </w:pPr>
      <w:r>
        <w:t xml:space="preserve">Puis, plusieurs analyses statistiques, par exemple l’analyse en composantes principales (ACP) et l’analyse de redondance (RDA), requièrent que les données respectent la distance Euclidienne</w:t>
      </w:r>
      <w:r>
        <w:rPr>
          <w:vertAlign w:val="superscript"/>
        </w:rPr>
        <w:t xml:space="preserve">19,20</w:t>
      </w:r>
      <w:r>
        <w:t xml:space="preserve">. Or, celle-ci n’est pas adaptée aux données d’abondances brutes, notamment en raison de la présence du « problème du double zéro ». Lorsque l’on compare la composition en espèces de différentes placettes d’inventaire, la présence d’une même espèce sur deux placettes suggère qu’elles ont probablement des conditions similaires. Cependant, lorsque deux placettes n’ont aucune espèce en commun, cela ne témoigne pas d’une similitude entre elles, car cela pourrait être dû à de nombreux facteurs autres que l’absence d’une niche écologique appropriée pour cette espèce. La distance Euclidienne ne permet pas de prendre en considération ces doubles absences. Ainsi, pour les données d’abondances d’espèces, il est souvent préférable d’utiliser des mesures de distance alternatives.</w:t>
      </w:r>
      <w:r>
        <w:rPr>
          <w:vertAlign w:val="superscript"/>
        </w:rPr>
        <w:t xml:space="preserve">20,21</w:t>
      </w:r>
    </w:p>
    <w:p>
      <w:pPr>
        <w:pStyle w:val="Corpsdetexte"/>
      </w:pPr>
      <w:r>
        <w:t xml:space="preserve">Étant donné que de nombreuses mesures peuvent être utilisées pour régler ce problème, les données issues de différentes transformations ont été mises en relation avec les variables environnementales au moyen d’une ordination canonique afin de déterminer celle permettant d’expliquer la plus grande proportion de la variance. Après la comparaison des R2 ajustés (Tableau 6), la transformation log-Chorde a été choisie pour être appliquée sur les données d’abondances brutes.</w:t>
      </w:r>
    </w:p>
    <w:p>
      <w:pPr>
        <w:pStyle w:val="TableCaption"/>
      </w:pPr>
      <w:r>
        <w:t xml:space="preserve">Tableau 6 : Proportion de la variance des données d’espèces d’arbres inventoriées au sein des placettes forestières de la zone 1 de la Station de biologie des Laurentides expliquée les variables environnementales.</w:t>
      </w:r>
    </w:p>
    <w:tbl>
      <w:tblPr>
        <w:tblStyle w:val="Table"/>
        <w:tblW w:type="auto" w:w="0"/>
        <w:tblLook w:firstRow="1" w:lastRow="0" w:firstColumn="0" w:lastColumn="0" w:noHBand="0" w:noVBand="0" w:val="0020"/>
        <w:jc w:val="start"/>
        <w:tblCaption w:val="Tableau 6 : Proportion de la variance des données d’espèces d’arbres inventoriées au sein des placettes forestières de la zone 1 de la Station de biologie des Laurentides expliquée les variables environnementale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3"/>
    <w:bookmarkStart w:id="34" w:name="groupement-en-communautés-écoforestières"/>
    <w:p>
      <w:pPr>
        <w:pStyle w:val="Titre2"/>
      </w:pPr>
      <w:r>
        <w:t xml:space="preserve">Groupement en communautés écoforestières</w:t>
      </w:r>
    </w:p>
    <w:p>
      <w:pPr>
        <w:pStyle w:val="FirstParagraph"/>
      </w:pPr>
      <w:r>
        <w:t xml:space="preserve">Afin de séparer les placettes forestières en communautés, une analyse de groupement avec contrainte de contiguïté spatiale a été réalisée pour 3, 4 et 5 groupes. L’avantage de cette analyse de groupement est qu’elle permet d’identifier les groupes de placettes forestières d’une même communauté tout en considérant leur composante spatiale.</w:t>
      </w:r>
    </w:p>
    <w:p>
      <w:pPr>
        <w:pStyle w:val="Corpsdetexte"/>
      </w:pPr>
      <w:r>
        <w:t xml:space="preserve">La liste des liens de connectivité entre les placettes forestières a été obtenue par une triangulation de Delauney à partir de laquelle les liens d’une longueur de plus de 30 mètres ont été retirés afin de ne conserver que les liens des placettes forestières côte-à-côtes</w:t>
      </w:r>
      <w:r>
        <w:rPr>
          <w:vertAlign w:val="superscript"/>
        </w:rPr>
        <w:t xml:space="preserve">22</w:t>
      </w:r>
      <w:r>
        <w:t xml:space="preserve">. Par la suite, les placettes forestières ont été regroupées avec la méthode de Ward en utilisant la matrice de distance euclidienne ayant subi une transformation de log-Chorde. Cette méthode de groupement agglomératif hiérarchique a pour objectif de minimiser la somme des carrés des écarts des groupes créés</w:t>
      </w:r>
      <w:r>
        <w:rPr>
          <w:vertAlign w:val="superscript"/>
        </w:rPr>
        <w:t xml:space="preserve">20</w:t>
      </w:r>
      <w:r>
        <w:t xml:space="preserve">. En d’autres termes, elle permet de créer des groupes de placettes forestières similaires en minimisant la variabilité entre les placettes dans chaque groupe.</w:t>
      </w:r>
    </w:p>
    <w:p>
      <w:pPr>
        <w:pStyle w:val="Corpsdetexte"/>
      </w:pPr>
      <w:r>
        <w:t xml:space="preserve">Après l’analyse de groupement avec contrainte de contiguïté spatiale, les superficies relatives des espèces au sein de chacun des groupes ont été calculées, puis transposées dans des histogrammes de sorte à déterminer les espèces dominantes et, ainsi, nommer les communautés écoforestières.</w:t>
      </w:r>
    </w:p>
    <w:bookmarkEnd w:id="34"/>
    <w:bookmarkStart w:id="35" w:name="Xd8b2064c0727ed5210a6521bb778378b7bf80ac"/>
    <w:p>
      <w:pPr>
        <w:pStyle w:val="Titre2"/>
      </w:pPr>
      <w:r>
        <w:t xml:space="preserve">Ordination simple (analyse en composantes principales)</w:t>
      </w:r>
    </w:p>
    <w:p>
      <w:pPr>
        <w:pStyle w:val="FirstParagraph"/>
      </w:pPr>
      <w:r>
        <w:t xml:space="preserve">Étant donné que le jeu de données en est un d’abondances d’espèces, l’analyse en composantes principales (ACP) est appropriée pour cette étude. L’analyse des correspondances (AFC) serait, elle aussi, appropriée, mais elle donne davantage de poids aux espèces rares qu’aux espèces communes, ce qui n’est pas réellement l’objectif pour le groupement des communautés écoforestières, car celles-ci sont définies en fonction des espèces les plus abondances, et non en fonction de la spécificité de certaines espèces à se retrouver dans certaines placettes écoforestières. L’ACP est donc l’ordination simple de choix. L’interprétation de l’analyse en composantes principales en cadrage 1 est particulièrement pertinente pour observer les espèces ayant contribué le plus à la formation des communautés écoforestières. De plus, en cadrage 1, les stations près les unes des autres sont similaires entre elles au niveau de leur composition en espèces d’arbres. Par ailleurs, tout comme les analyses précédentes, l’ordination a été réalisée sur les données transformées à l’aide de la transformation de log-Chorde de sorte à conserver les distances entre les éléments.</w:t>
      </w:r>
      <w:r>
        <w:rPr>
          <w:vertAlign w:val="superscript"/>
        </w:rPr>
        <w:t xml:space="preserve">20,23</w:t>
      </w:r>
    </w:p>
    <w:bookmarkEnd w:id="35"/>
    <w:bookmarkStart w:id="36" w:name="X4cde6731b2997262b91e7a0470383525407a7d2"/>
    <w:p>
      <w:pPr>
        <w:pStyle w:val="Titre2"/>
      </w:pPr>
      <w:r>
        <w:t xml:space="preserve">Ordination canonique (analyse de redondance)</w:t>
      </w:r>
    </w:p>
    <w:bookmarkEnd w:id="36"/>
    <w:bookmarkEnd w:id="37"/>
    <w:bookmarkStart w:id="41" w:name="résultats"/>
    <w:p>
      <w:pPr>
        <w:pStyle w:val="Titre1"/>
      </w:pPr>
      <w:r>
        <w:t xml:space="preserve">Résultats</w:t>
      </w:r>
    </w:p>
    <w:bookmarkStart w:id="38" w:name="X03fd205d31a0004eddc5c97e4a474b6e8b97ece"/>
    <w:p>
      <w:pPr>
        <w:pStyle w:val="Titre2"/>
      </w:pPr>
      <w:r>
        <w:t xml:space="preserve">Groupement en communautés écoforestières</w:t>
      </w:r>
    </w:p>
    <w:bookmarkEnd w:id="38"/>
    <w:bookmarkStart w:id="39" w:name="ordination-simple"/>
    <w:p>
      <w:pPr>
        <w:pStyle w:val="Titre2"/>
      </w:pPr>
      <w:r>
        <w:t xml:space="preserve">Ordination simple</w:t>
      </w:r>
    </w:p>
    <w:bookmarkEnd w:id="39"/>
    <w:bookmarkStart w:id="40" w:name="ordination-canonique"/>
    <w:p>
      <w:pPr>
        <w:pStyle w:val="Titre2"/>
      </w:pPr>
      <w:r>
        <w:t xml:space="preserve">Ordination canonique</w:t>
      </w:r>
    </w:p>
    <w:bookmarkEnd w:id="40"/>
    <w:bookmarkEnd w:id="41"/>
    <w:bookmarkStart w:id="84" w:name="références"/>
    <w:p>
      <w:pPr>
        <w:pStyle w:val="Titre1"/>
      </w:pPr>
      <w:r>
        <w:t xml:space="preserve">Références</w:t>
      </w:r>
    </w:p>
    <w:bookmarkStart w:id="83" w:name="refs"/>
    <w:bookmarkStart w:id="43" w:name="ref-kuuluvainen2021"/>
    <w:p>
      <w:pPr>
        <w:pStyle w:val="Bibliographie"/>
      </w:pPr>
      <w:r>
        <w:t xml:space="preserve">1.</w:t>
      </w:r>
      <w:r>
        <w:t xml:space="preserve"> </w:t>
      </w:r>
      <w:r>
        <w:t xml:space="preserve">	</w:t>
      </w:r>
      <w:r>
        <w:t xml:space="preserve">Kuuluvainen, T.</w:t>
      </w:r>
      <w:r>
        <w:t xml:space="preserve"> </w:t>
      </w:r>
      <w:r>
        <w:rPr>
          <w:iCs/>
          <w:i/>
        </w:rPr>
        <w:t xml:space="preserve">et al.</w:t>
      </w:r>
      <w:r>
        <w:t xml:space="preserve"> </w:t>
      </w:r>
      <w:hyperlink r:id="rId42">
        <w:r>
          <w:rPr>
            <w:rStyle w:val="Lienhypertexte"/>
          </w:rPr>
          <w:t xml:space="preserve">Natural disturbance-based forest management: Moving beyond retention and continuous-cover forestry</w:t>
        </w:r>
      </w:hyperlink>
      <w:r>
        <w:t xml:space="preserve">.</w:t>
      </w:r>
      <w:r>
        <w:t xml:space="preserve"> </w:t>
      </w:r>
      <w:r>
        <w:rPr>
          <w:iCs/>
          <w:i/>
        </w:rPr>
        <w:t xml:space="preserve">Frontiers in Forests and Global Change</w:t>
      </w:r>
      <w:r>
        <w:t xml:space="preserve"> </w:t>
      </w:r>
      <w:r>
        <w:rPr>
          <w:bCs/>
          <w:b/>
        </w:rPr>
        <w:t xml:space="preserve">4</w:t>
      </w:r>
      <w:r>
        <w:t xml:space="preserve">, (2021).</w:t>
      </w:r>
    </w:p>
    <w:bookmarkEnd w:id="43"/>
    <w:bookmarkStart w:id="45" w:name="ref-viljur2022"/>
    <w:p>
      <w:pPr>
        <w:pStyle w:val="Bibliographie"/>
      </w:pPr>
      <w:r>
        <w:t xml:space="preserve">2.</w:t>
      </w:r>
      <w:r>
        <w:t xml:space="preserve"> </w:t>
      </w:r>
      <w:r>
        <w:t xml:space="preserve">	</w:t>
      </w:r>
      <w:r>
        <w:t xml:space="preserve">Viljur, M.-L.</w:t>
      </w:r>
      <w:r>
        <w:t xml:space="preserve"> </w:t>
      </w:r>
      <w:r>
        <w:rPr>
          <w:iCs/>
          <w:i/>
        </w:rPr>
        <w:t xml:space="preserve">et al.</w:t>
      </w:r>
      <w:r>
        <w:t xml:space="preserve"> </w:t>
      </w:r>
      <w:hyperlink r:id="rId44">
        <w:r>
          <w:rPr>
            <w:rStyle w:val="Lienhypertexte"/>
          </w:rPr>
          <w:t xml:space="preserve">The effect of natural disturbances on forest biodiversity: an ecological synthesis</w:t>
        </w:r>
      </w:hyperlink>
      <w:r>
        <w:t xml:space="preserve">.</w:t>
      </w:r>
      <w:r>
        <w:t xml:space="preserve"> </w:t>
      </w:r>
      <w:r>
        <w:rPr>
          <w:iCs/>
          <w:i/>
        </w:rPr>
        <w:t xml:space="preserve">Biological Reviews</w:t>
      </w:r>
      <w:r>
        <w:t xml:space="preserve"> </w:t>
      </w:r>
      <w:r>
        <w:rPr>
          <w:bCs/>
          <w:b/>
        </w:rPr>
        <w:t xml:space="preserve">97</w:t>
      </w:r>
      <w:r>
        <w:t xml:space="preserve">, 1930–1947 (2022).</w:t>
      </w:r>
    </w:p>
    <w:bookmarkEnd w:id="45"/>
    <w:bookmarkStart w:id="47" w:name="ref-finegan1984"/>
    <w:p>
      <w:pPr>
        <w:pStyle w:val="Bibliographie"/>
      </w:pPr>
      <w:r>
        <w:t xml:space="preserve">3.</w:t>
      </w:r>
      <w:r>
        <w:t xml:space="preserve"> </w:t>
      </w:r>
      <w:r>
        <w:t xml:space="preserve">	</w:t>
      </w:r>
      <w:r>
        <w:t xml:space="preserve">Finegan, B.</w:t>
      </w:r>
      <w:r>
        <w:t xml:space="preserve"> </w:t>
      </w:r>
      <w:hyperlink r:id="rId46">
        <w:r>
          <w:rPr>
            <w:rStyle w:val="Lienhypertexte"/>
          </w:rPr>
          <w:t xml:space="preserve">Forest succession</w:t>
        </w:r>
      </w:hyperlink>
      <w:r>
        <w:t xml:space="preserve">.</w:t>
      </w:r>
      <w:r>
        <w:t xml:space="preserve"> </w:t>
      </w:r>
      <w:r>
        <w:rPr>
          <w:iCs/>
          <w:i/>
        </w:rPr>
        <w:t xml:space="preserve">Nature</w:t>
      </w:r>
      <w:r>
        <w:t xml:space="preserve"> </w:t>
      </w:r>
      <w:r>
        <w:rPr>
          <w:bCs/>
          <w:b/>
        </w:rPr>
        <w:t xml:space="preserve">312</w:t>
      </w:r>
      <w:r>
        <w:t xml:space="preserve">, 109–114 (1984).</w:t>
      </w:r>
    </w:p>
    <w:bookmarkEnd w:id="47"/>
    <w:bookmarkStart w:id="48" w:name="ref-burns1990"/>
    <w:p>
      <w:pPr>
        <w:pStyle w:val="Bibliographie"/>
      </w:pPr>
      <w:r>
        <w:t xml:space="preserve">4.</w:t>
      </w:r>
      <w:r>
        <w:t xml:space="preserve"> </w:t>
      </w:r>
      <w:r>
        <w:t xml:space="preserve">	</w:t>
      </w:r>
      <w:r>
        <w:t xml:space="preserve">Burns, R. M. &amp; Honkala, B. H.</w:t>
      </w:r>
      <w:r>
        <w:t xml:space="preserve"> </w:t>
      </w:r>
      <w:r>
        <w:rPr>
          <w:iCs/>
          <w:i/>
        </w:rPr>
        <w:t xml:space="preserve">Silvics of North America: Conifers</w:t>
      </w:r>
      <w:r>
        <w:t xml:space="preserve">.</w:t>
      </w:r>
      <w:r>
        <w:t xml:space="preserve"> </w:t>
      </w:r>
      <w:r>
        <w:rPr>
          <w:bCs/>
          <w:b/>
        </w:rPr>
        <w:t xml:space="preserve">1</w:t>
      </w:r>
      <w:r>
        <w:t xml:space="preserve">, (Forest Service, United States Department of Agriculture, Washington, DC, 1990).</w:t>
      </w:r>
    </w:p>
    <w:bookmarkEnd w:id="48"/>
    <w:bookmarkStart w:id="50" w:name="ref-nolet2008"/>
    <w:p>
      <w:pPr>
        <w:pStyle w:val="Bibliographie"/>
      </w:pPr>
      <w:r>
        <w:t xml:space="preserve">5.</w:t>
      </w:r>
      <w:r>
        <w:t xml:space="preserve"> </w:t>
      </w:r>
      <w:r>
        <w:t xml:space="preserve">	</w:t>
      </w:r>
      <w:r>
        <w:t xml:space="preserve">Nolet, P., Delagrange, S., Bouffard, D., Doyon, F. &amp; Forget, E.</w:t>
      </w:r>
      <w:r>
        <w:t xml:space="preserve"> </w:t>
      </w:r>
      <w:hyperlink r:id="rId49">
        <w:r>
          <w:rPr>
            <w:rStyle w:val="Lienhypertexte"/>
          </w:rPr>
          <w:t xml:space="preserve">The successional status of sugar maple (Acer saccharum), revisited</w:t>
        </w:r>
      </w:hyperlink>
      <w:r>
        <w:t xml:space="preserve">.</w:t>
      </w:r>
      <w:r>
        <w:t xml:space="preserve"> </w:t>
      </w:r>
      <w:r>
        <w:rPr>
          <w:iCs/>
          <w:i/>
        </w:rPr>
        <w:t xml:space="preserve">Annals of Forest Science</w:t>
      </w:r>
      <w:r>
        <w:t xml:space="preserve"> </w:t>
      </w:r>
      <w:r>
        <w:rPr>
          <w:bCs/>
          <w:b/>
        </w:rPr>
        <w:t xml:space="preserve">65</w:t>
      </w:r>
      <w:r>
        <w:t xml:space="preserve">, 208–208 (2008).</w:t>
      </w:r>
    </w:p>
    <w:bookmarkEnd w:id="50"/>
    <w:bookmarkStart w:id="52" w:name="ref-horn1974"/>
    <w:p>
      <w:pPr>
        <w:pStyle w:val="Bibliographie"/>
      </w:pPr>
      <w:r>
        <w:t xml:space="preserve">6.</w:t>
      </w:r>
      <w:r>
        <w:t xml:space="preserve"> </w:t>
      </w:r>
      <w:r>
        <w:t xml:space="preserve">	</w:t>
      </w:r>
      <w:r>
        <w:t xml:space="preserve">Horn, H. S.</w:t>
      </w:r>
      <w:r>
        <w:t xml:space="preserve"> </w:t>
      </w:r>
      <w:hyperlink r:id="rId51">
        <w:r>
          <w:rPr>
            <w:rStyle w:val="Lienhypertexte"/>
          </w:rPr>
          <w:t xml:space="preserve">The ecology of secondary succession</w:t>
        </w:r>
      </w:hyperlink>
      <w:r>
        <w:t xml:space="preserve">.</w:t>
      </w:r>
      <w:r>
        <w:t xml:space="preserve"> </w:t>
      </w:r>
      <w:r>
        <w:rPr>
          <w:iCs/>
          <w:i/>
        </w:rPr>
        <w:t xml:space="preserve">Annual Review of Ecology and Systematics</w:t>
      </w:r>
      <w:r>
        <w:t xml:space="preserve"> </w:t>
      </w:r>
      <w:r>
        <w:rPr>
          <w:bCs/>
          <w:b/>
        </w:rPr>
        <w:t xml:space="preserve">5</w:t>
      </w:r>
      <w:r>
        <w:t xml:space="preserve">, 25–37 (1974).</w:t>
      </w:r>
    </w:p>
    <w:bookmarkEnd w:id="52"/>
    <w:bookmarkStart w:id="54" w:name="X7b424181d312932eade21ed77b262ffd762bf08"/>
    <w:p>
      <w:pPr>
        <w:pStyle w:val="Bibliographie"/>
      </w:pPr>
      <w:r>
        <w:t xml:space="preserve">7.</w:t>
      </w:r>
      <w:r>
        <w:t xml:space="preserve"> </w:t>
      </w:r>
      <w:r>
        <w:t xml:space="preserve">	</w:t>
      </w:r>
      <w:r>
        <w:t xml:space="preserve">Ministère des Ressources naturelles et des Forêts</w:t>
      </w:r>
      <w:r>
        <w:t xml:space="preserve"> </w:t>
      </w:r>
      <w:r>
        <w:rPr>
          <w:iCs/>
          <w:i/>
        </w:rPr>
        <w:t xml:space="preserve">Zones de végétation et domaines bioclimatiques du Québec</w:t>
      </w:r>
      <w:r>
        <w:t xml:space="preserve">. (2022).at &lt;</w:t>
      </w:r>
      <w:hyperlink r:id="rId53">
        <w:r>
          <w:rPr>
            <w:rStyle w:val="Lienhypertexte"/>
          </w:rPr>
          <w:t xml:space="preserve">https://mffp.gouv.qc.ca/documents/forets/FE_zones_vegetation_bioclimatiques_MRNF.pdf</w:t>
        </w:r>
      </w:hyperlink>
      <w:r>
        <w:t xml:space="preserve">&gt;</w:t>
      </w:r>
    </w:p>
    <w:bookmarkEnd w:id="54"/>
    <w:bookmarkStart w:id="55" w:name="ref-savage2001"/>
    <w:p>
      <w:pPr>
        <w:pStyle w:val="Bibliographie"/>
      </w:pPr>
      <w:r>
        <w:t xml:space="preserve">8.</w:t>
      </w:r>
      <w:r>
        <w:t xml:space="preserve"> </w:t>
      </w:r>
      <w:r>
        <w:t xml:space="preserve">	</w:t>
      </w:r>
      <w:r>
        <w:t xml:space="preserve">Savage, C. Recolonisation forestière dans les basses laurentides au sud du domaine climacique de l</w:t>
      </w:r>
      <w:r>
        <w:t xml:space="preserve">’</w:t>
      </w:r>
      <w:r>
        <w:t xml:space="preserve">érablière à bouleau jaune. (2001).</w:t>
      </w:r>
    </w:p>
    <w:bookmarkEnd w:id="55"/>
    <w:bookmarkStart w:id="57" w:name="X5a8aa76f7c6ec0c8439bf95f46e92f5aee3321b"/>
    <w:p>
      <w:pPr>
        <w:pStyle w:val="Bibliographie"/>
      </w:pPr>
      <w:r>
        <w:t xml:space="preserve">9.</w:t>
      </w:r>
      <w:r>
        <w:t xml:space="preserve"> </w:t>
      </w:r>
      <w:r>
        <w:t xml:space="preserve">	</w:t>
      </w:r>
      <w:r>
        <w:t xml:space="preserve">Ministère de l’Environnement et de la Lutte contre les changements climatiques Réserve de biodiversité projetée de la Station-de-Biologie-des-Laurentides : Plan de conservation. (2009).at &lt;</w:t>
      </w:r>
      <w:hyperlink r:id="rId56">
        <w:r>
          <w:rPr>
            <w:rStyle w:val="Lienhypertexte"/>
          </w:rPr>
          <w:t xml:space="preserve">https://www.environnement.gouv.qc.ca/biodiversite/reserves-bio/station/psc_station.pdf</w:t>
        </w:r>
      </w:hyperlink>
      <w:r>
        <w:t xml:space="preserve">&gt;</w:t>
      </w:r>
    </w:p>
    <w:bookmarkEnd w:id="57"/>
    <w:bookmarkStart w:id="59" w:name="ref-agisoftllc2021"/>
    <w:p>
      <w:pPr>
        <w:pStyle w:val="Bibliographie"/>
      </w:pPr>
      <w:r>
        <w:t xml:space="preserve">10.</w:t>
      </w:r>
      <w:r>
        <w:t xml:space="preserve"> </w:t>
      </w:r>
      <w:r>
        <w:t xml:space="preserve">	</w:t>
      </w:r>
      <w:r>
        <w:t xml:space="preserve">Agisoft LLC</w:t>
      </w:r>
      <w:r>
        <w:t xml:space="preserve"> </w:t>
      </w:r>
      <w:r>
        <w:rPr>
          <w:iCs/>
          <w:i/>
        </w:rPr>
        <w:t xml:space="preserve">Agisoft metashape professional</w:t>
      </w:r>
      <w:r>
        <w:t xml:space="preserve">. (Agisoft LLC, St. Petersburg, Russia, 2021).at &lt;</w:t>
      </w:r>
      <w:hyperlink r:id="rId58">
        <w:r>
          <w:rPr>
            <w:rStyle w:val="Lienhypertexte"/>
          </w:rPr>
          <w:t xml:space="preserve">https://www.agisoft.com/features/professional-edition/</w:t>
        </w:r>
      </w:hyperlink>
      <w:r>
        <w:t xml:space="preserve">&gt;</w:t>
      </w:r>
    </w:p>
    <w:bookmarkEnd w:id="59"/>
    <w:bookmarkStart w:id="61" w:name="ref-ferrari2021"/>
    <w:p>
      <w:pPr>
        <w:pStyle w:val="Bibliographie"/>
      </w:pPr>
      <w:r>
        <w:t xml:space="preserve">11.</w:t>
      </w:r>
      <w:r>
        <w:t xml:space="preserve"> </w:t>
      </w:r>
      <w:r>
        <w:t xml:space="preserve">	</w:t>
      </w:r>
      <w:r>
        <w:t xml:space="preserve">Ferrari, R.</w:t>
      </w:r>
      <w:r>
        <w:t xml:space="preserve"> </w:t>
      </w:r>
      <w:r>
        <w:rPr>
          <w:iCs/>
          <w:i/>
        </w:rPr>
        <w:t xml:space="preserve">et al.</w:t>
      </w:r>
      <w:r>
        <w:t xml:space="preserve"> </w:t>
      </w:r>
      <w:hyperlink r:id="rId60">
        <w:r>
          <w:rPr>
            <w:rStyle w:val="Lienhypertexte"/>
          </w:rPr>
          <w:t xml:space="preserve">Photogrammetry as a tool to improve ecosystem restoration</w:t>
        </w:r>
      </w:hyperlink>
      <w:r>
        <w:t xml:space="preserve">.</w:t>
      </w:r>
      <w:r>
        <w:t xml:space="preserve"> </w:t>
      </w:r>
      <w:r>
        <w:rPr>
          <w:iCs/>
          <w:i/>
        </w:rPr>
        <w:t xml:space="preserve">Trends in Ecology &amp; Evolution</w:t>
      </w:r>
      <w:r>
        <w:t xml:space="preserve"> </w:t>
      </w:r>
      <w:r>
        <w:rPr>
          <w:bCs/>
          <w:b/>
        </w:rPr>
        <w:t xml:space="preserve">36</w:t>
      </w:r>
      <w:r>
        <w:t xml:space="preserve">, 1093–1101 (2021).</w:t>
      </w:r>
    </w:p>
    <w:bookmarkEnd w:id="61"/>
    <w:bookmarkStart w:id="63" w:name="ref-esriinc2022"/>
    <w:p>
      <w:pPr>
        <w:pStyle w:val="Bibliographie"/>
      </w:pPr>
      <w:r>
        <w:t xml:space="preserve">12.</w:t>
      </w:r>
      <w:r>
        <w:t xml:space="preserve"> </w:t>
      </w:r>
      <w:r>
        <w:t xml:space="preserve">	</w:t>
      </w:r>
      <w:r>
        <w:t xml:space="preserve">Esri Inc</w:t>
      </w:r>
      <w:r>
        <w:t xml:space="preserve"> </w:t>
      </w:r>
      <w:r>
        <w:rPr>
          <w:iCs/>
          <w:i/>
        </w:rPr>
        <w:t xml:space="preserve">ArcGIS pro</w:t>
      </w:r>
      <w:r>
        <w:t xml:space="preserve">. (Esri Inc, 2022).at &lt;</w:t>
      </w:r>
      <w:hyperlink r:id="rId62">
        <w:r>
          <w:rPr>
            <w:rStyle w:val="Lienhypertexte"/>
          </w:rPr>
          <w:t xml:space="preserve">https://www.esri.com/en-us/arcgis/products/arcgis-pro/overview</w:t>
        </w:r>
      </w:hyperlink>
      <w:r>
        <w:t xml:space="preserve">&gt;</w:t>
      </w:r>
    </w:p>
    <w:bookmarkEnd w:id="63"/>
    <w:bookmarkStart w:id="64" w:name="X339d5705924bb3f4157d132db6ff0cf1f642c6a"/>
    <w:p>
      <w:pPr>
        <w:pStyle w:val="Bibliographie"/>
      </w:pPr>
      <w:r>
        <w:t xml:space="preserve">13.</w:t>
      </w:r>
      <w:r>
        <w:t xml:space="preserve"> </w:t>
      </w:r>
      <w:r>
        <w:t xml:space="preserve">	</w:t>
      </w:r>
      <w:r>
        <w:t xml:space="preserve">Ministère des Forêts, de la Faune et des Parcs LiDAR - modèles numériques (terrain, canopée, pente).</w:t>
      </w:r>
      <w:r>
        <w:t xml:space="preserve"> </w:t>
      </w:r>
    </w:p>
    <w:bookmarkEnd w:id="64"/>
    <w:bookmarkStart w:id="65" w:name="Xe4337aff119a21c3c4710e7ef81f6fa26b4d2cc"/>
    <w:p>
      <w:pPr>
        <w:pStyle w:val="Bibliographie"/>
      </w:pPr>
      <w:r>
        <w:t xml:space="preserve">14.</w:t>
      </w:r>
      <w:r>
        <w:t xml:space="preserve"> </w:t>
      </w:r>
      <w:r>
        <w:t xml:space="preserve">	</w:t>
      </w:r>
      <w:r>
        <w:t xml:space="preserve">Ministère des Forêts, de la Faune et des Parcs Indice d’humidité topographique issu du LiDAR.</w:t>
      </w:r>
      <w:r>
        <w:t xml:space="preserve"> </w:t>
      </w:r>
    </w:p>
    <w:bookmarkEnd w:id="65"/>
    <w:bookmarkStart w:id="67" w:name="ref-dorman2021"/>
    <w:p>
      <w:pPr>
        <w:pStyle w:val="Bibliographie"/>
      </w:pPr>
      <w:r>
        <w:t xml:space="preserve">15.</w:t>
      </w:r>
      <w:r>
        <w:t xml:space="preserve"> </w:t>
      </w:r>
      <w:r>
        <w:t xml:space="preserve">	</w:t>
      </w:r>
      <w:r>
        <w:t xml:space="preserve">Dorman, M.</w:t>
      </w:r>
      <w:r>
        <w:t xml:space="preserve"> </w:t>
      </w:r>
      <w:r>
        <w:rPr>
          <w:iCs/>
          <w:i/>
        </w:rPr>
        <w:t xml:space="preserve">starsExtra: Miscellaneous functions for working with ’stars’ rasters</w:t>
      </w:r>
      <w:r>
        <w:t xml:space="preserve">. (2021).at &lt;</w:t>
      </w:r>
      <w:hyperlink r:id="rId66">
        <w:r>
          <w:rPr>
            <w:rStyle w:val="Lienhypertexte"/>
          </w:rPr>
          <w:t xml:space="preserve">https://cran.r-project.org/web/packages/starsExtra/index.html</w:t>
        </w:r>
      </w:hyperlink>
      <w:r>
        <w:t xml:space="preserve">&gt;</w:t>
      </w:r>
    </w:p>
    <w:bookmarkEnd w:id="67"/>
    <w:bookmarkStart w:id="69" w:name="ref-legendre2009"/>
    <w:p>
      <w:pPr>
        <w:pStyle w:val="Bibliographie"/>
      </w:pPr>
      <w:r>
        <w:t xml:space="preserve">16.</w:t>
      </w:r>
      <w:r>
        <w:t xml:space="preserve"> </w:t>
      </w:r>
      <w:r>
        <w:t xml:space="preserve">	</w:t>
      </w:r>
      <w:r>
        <w:t xml:space="preserve">Legendre, P.</w:t>
      </w:r>
      <w:r>
        <w:t xml:space="preserve"> </w:t>
      </w:r>
      <w:r>
        <w:rPr>
          <w:iCs/>
          <w:i/>
        </w:rPr>
        <w:t xml:space="preserve">et al.</w:t>
      </w:r>
      <w:r>
        <w:t xml:space="preserve"> </w:t>
      </w:r>
      <w:hyperlink r:id="rId68">
        <w:r>
          <w:rPr>
            <w:rStyle w:val="Lienhypertexte"/>
          </w:rPr>
          <w:t xml:space="preserve">Partitioning beta diversity in a subtropical broad</w:t>
        </w:r>
        <w:r>
          <w:rPr>
            <w:rStyle w:val="Lienhypertexte"/>
          </w:rPr>
          <w:t xml:space="preserve">-</w:t>
        </w:r>
        <w:r>
          <w:rPr>
            <w:rStyle w:val="Lienhypertexte"/>
          </w:rPr>
          <w:t xml:space="preserve">leaved forest of China</w:t>
        </w:r>
      </w:hyperlink>
      <w:r>
        <w:t xml:space="preserve">.</w:t>
      </w:r>
      <w:r>
        <w:t xml:space="preserve"> </w:t>
      </w:r>
      <w:r>
        <w:rPr>
          <w:iCs/>
          <w:i/>
        </w:rPr>
        <w:t xml:space="preserve">Ecology</w:t>
      </w:r>
      <w:r>
        <w:t xml:space="preserve"> </w:t>
      </w:r>
      <w:r>
        <w:rPr>
          <w:bCs/>
          <w:b/>
        </w:rPr>
        <w:t xml:space="preserve">90</w:t>
      </w:r>
      <w:r>
        <w:t xml:space="preserve">, 663–674 (2009).</w:t>
      </w:r>
    </w:p>
    <w:bookmarkEnd w:id="69"/>
    <w:bookmarkStart w:id="71" w:name="ref-piedallu2008"/>
    <w:p>
      <w:pPr>
        <w:pStyle w:val="Bibliographie"/>
      </w:pPr>
      <w:r>
        <w:t xml:space="preserve">17.</w:t>
      </w:r>
      <w:r>
        <w:t xml:space="preserve"> </w:t>
      </w:r>
      <w:r>
        <w:t xml:space="preserve">	</w:t>
      </w:r>
      <w:r>
        <w:t xml:space="preserve">Piedallu, C. &amp; Gégout, J.</w:t>
      </w:r>
      <w:r>
        <w:t xml:space="preserve"> </w:t>
      </w:r>
      <w:hyperlink r:id="rId70">
        <w:r>
          <w:rPr>
            <w:rStyle w:val="Lienhypertexte"/>
          </w:rPr>
          <w:t xml:space="preserve">Efficient assessment of topographic solar radiation to improve plant distribution models</w:t>
        </w:r>
      </w:hyperlink>
      <w:r>
        <w:t xml:space="preserve">.</w:t>
      </w:r>
      <w:r>
        <w:t xml:space="preserve"> </w:t>
      </w:r>
      <w:r>
        <w:rPr>
          <w:iCs/>
          <w:i/>
        </w:rPr>
        <w:t xml:space="preserve">Agricultural and Forest Meteorology</w:t>
      </w:r>
      <w:r>
        <w:t xml:space="preserve"> </w:t>
      </w:r>
      <w:r>
        <w:rPr>
          <w:bCs/>
          <w:b/>
        </w:rPr>
        <w:t xml:space="preserve">148</w:t>
      </w:r>
      <w:r>
        <w:t xml:space="preserve">, 1696–1706 (2008).</w:t>
      </w:r>
    </w:p>
    <w:bookmarkEnd w:id="71"/>
    <w:bookmarkStart w:id="73" w:name="ref-pierce2005"/>
    <w:p>
      <w:pPr>
        <w:pStyle w:val="Bibliographie"/>
      </w:pPr>
      <w:r>
        <w:t xml:space="preserve">18.</w:t>
      </w:r>
      <w:r>
        <w:t xml:space="preserve"> </w:t>
      </w:r>
      <w:r>
        <w:t xml:space="preserve">	</w:t>
      </w:r>
      <w:r>
        <w:t xml:space="preserve">Pierce, K., Lookingbill, T. &amp; Urban, D.</w:t>
      </w:r>
      <w:r>
        <w:t xml:space="preserve"> </w:t>
      </w:r>
      <w:hyperlink r:id="rId72">
        <w:r>
          <w:rPr>
            <w:rStyle w:val="Lienhypertexte"/>
          </w:rPr>
          <w:t xml:space="preserve">Simple method for estimating potential relative radiation (PRR) for landscape-scale vegetation analysis</w:t>
        </w:r>
      </w:hyperlink>
      <w:r>
        <w:t xml:space="preserve">.</w:t>
      </w:r>
      <w:r>
        <w:t xml:space="preserve"> </w:t>
      </w:r>
      <w:r>
        <w:rPr>
          <w:iCs/>
          <w:i/>
        </w:rPr>
        <w:t xml:space="preserve">Landscape Ecology</w:t>
      </w:r>
      <w:r>
        <w:t xml:space="preserve"> </w:t>
      </w:r>
      <w:r>
        <w:rPr>
          <w:bCs/>
          <w:b/>
        </w:rPr>
        <w:t xml:space="preserve">20</w:t>
      </w:r>
      <w:r>
        <w:t xml:space="preserve">, 137–147 (2005).</w:t>
      </w:r>
    </w:p>
    <w:bookmarkEnd w:id="73"/>
    <w:bookmarkStart w:id="75" w:name="ref-legendre1999"/>
    <w:p>
      <w:pPr>
        <w:pStyle w:val="Bibliographie"/>
      </w:pPr>
      <w:r>
        <w:t xml:space="preserve">19.</w:t>
      </w:r>
      <w:r>
        <w:t xml:space="preserve"> </w:t>
      </w:r>
      <w:r>
        <w:t xml:space="preserve">	</w:t>
      </w:r>
      <w:r>
        <w:t xml:space="preserve">Legendre, P. &amp; Anderson, M. J.</w:t>
      </w:r>
      <w:r>
        <w:t xml:space="preserve"> </w:t>
      </w:r>
      <w:hyperlink r:id="rId74">
        <w:r>
          <w:rPr>
            <w:rStyle w:val="Lienhypertexte"/>
          </w:rPr>
          <w:t xml:space="preserve">Distance-based redundancy analysis: Testing multispecies responses in multifactorial ecological experiments</w:t>
        </w:r>
      </w:hyperlink>
      <w:r>
        <w:t xml:space="preserve">.</w:t>
      </w:r>
      <w:r>
        <w:t xml:space="preserve"> </w:t>
      </w:r>
      <w:r>
        <w:rPr>
          <w:iCs/>
          <w:i/>
        </w:rPr>
        <w:t xml:space="preserve">Ecological Monographs</w:t>
      </w:r>
      <w:r>
        <w:t xml:space="preserve"> </w:t>
      </w:r>
      <w:r>
        <w:rPr>
          <w:bCs/>
          <w:b/>
        </w:rPr>
        <w:t xml:space="preserve">69</w:t>
      </w:r>
      <w:r>
        <w:t xml:space="preserve">, 1–24 (1999).</w:t>
      </w:r>
    </w:p>
    <w:bookmarkEnd w:id="75"/>
    <w:bookmarkStart w:id="76" w:name="ref-legendre2012"/>
    <w:p>
      <w:pPr>
        <w:pStyle w:val="Bibliographie"/>
      </w:pPr>
      <w:r>
        <w:t xml:space="preserve">20.</w:t>
      </w:r>
      <w:r>
        <w:t xml:space="preserve"> </w:t>
      </w:r>
      <w:r>
        <w:t xml:space="preserve">	</w:t>
      </w:r>
      <w:r>
        <w:t xml:space="preserve">Legendre, P. &amp; Legendre, L.</w:t>
      </w:r>
      <w:r>
        <w:t xml:space="preserve"> </w:t>
      </w:r>
      <w:r>
        <w:rPr>
          <w:iCs/>
          <w:i/>
        </w:rPr>
        <w:t xml:space="preserve">Numerical ecology</w:t>
      </w:r>
      <w:r>
        <w:t xml:space="preserve">. (Elsevier, Amsterdam, 2012).</w:t>
      </w:r>
    </w:p>
    <w:bookmarkEnd w:id="76"/>
    <w:bookmarkStart w:id="78" w:name="ref-legendre2001"/>
    <w:p>
      <w:pPr>
        <w:pStyle w:val="Bibliographie"/>
      </w:pPr>
      <w:r>
        <w:t xml:space="preserve">21.</w:t>
      </w:r>
      <w:r>
        <w:t xml:space="preserve"> </w:t>
      </w:r>
      <w:r>
        <w:t xml:space="preserve">	</w:t>
      </w:r>
      <w:r>
        <w:t xml:space="preserve">Legendre, P. &amp; Gallagher, E. D.</w:t>
      </w:r>
      <w:r>
        <w:t xml:space="preserve"> </w:t>
      </w:r>
      <w:hyperlink r:id="rId77">
        <w:r>
          <w:rPr>
            <w:rStyle w:val="Lienhypertexte"/>
          </w:rPr>
          <w:t xml:space="preserve">Ecologically meaningful transformations for ordination of species data</w:t>
        </w:r>
      </w:hyperlink>
      <w:r>
        <w:t xml:space="preserve">.</w:t>
      </w:r>
      <w:r>
        <w:t xml:space="preserve"> </w:t>
      </w:r>
      <w:r>
        <w:rPr>
          <w:iCs/>
          <w:i/>
        </w:rPr>
        <w:t xml:space="preserve">Oecologia</w:t>
      </w:r>
      <w:r>
        <w:t xml:space="preserve"> </w:t>
      </w:r>
      <w:r>
        <w:rPr>
          <w:bCs/>
          <w:b/>
        </w:rPr>
        <w:t xml:space="preserve">129</w:t>
      </w:r>
      <w:r>
        <w:t xml:space="preserve">, 271–280 (2001).</w:t>
      </w:r>
    </w:p>
    <w:bookmarkEnd w:id="78"/>
    <w:bookmarkStart w:id="80" w:name="ref-guénard2022"/>
    <w:p>
      <w:pPr>
        <w:pStyle w:val="Bibliographie"/>
      </w:pPr>
      <w:r>
        <w:t xml:space="preserve">22.</w:t>
      </w:r>
      <w:r>
        <w:t xml:space="preserve"> </w:t>
      </w:r>
      <w:r>
        <w:t xml:space="preserve">	</w:t>
      </w:r>
      <w:r>
        <w:t xml:space="preserve">Guénard, G. &amp; Legendre, P.</w:t>
      </w:r>
      <w:r>
        <w:t xml:space="preserve"> </w:t>
      </w:r>
      <w:hyperlink r:id="rId79">
        <w:r>
          <w:rPr>
            <w:rStyle w:val="Lienhypertexte"/>
          </w:rPr>
          <w:t xml:space="preserve">Hierarchical clustering with contiguity constraint in</w:t>
        </w:r>
        <w:r>
          <w:rPr>
            <w:rStyle w:val="Lienhypertexte"/>
          </w:rPr>
          <w:t xml:space="preserve"> </w:t>
        </w:r>
        <w:r>
          <w:rPr>
            <w:rStyle w:val="Lienhypertexte"/>
            <w:iCs/>
            <w:i/>
          </w:rPr>
          <w:t xml:space="preserve">R</w:t>
        </w:r>
      </w:hyperlink>
      <w:r>
        <w:t xml:space="preserve">.</w:t>
      </w:r>
      <w:r>
        <w:t xml:space="preserve"> </w:t>
      </w:r>
      <w:r>
        <w:rPr>
          <w:iCs/>
          <w:i/>
        </w:rPr>
        <w:t xml:space="preserve">Journal of Statistical Software</w:t>
      </w:r>
      <w:r>
        <w:t xml:space="preserve"> </w:t>
      </w:r>
      <w:r>
        <w:rPr>
          <w:bCs/>
          <w:b/>
        </w:rPr>
        <w:t xml:space="preserve">103</w:t>
      </w:r>
      <w:r>
        <w:t xml:space="preserve">, 1–26 (2022).</w:t>
      </w:r>
    </w:p>
    <w:bookmarkEnd w:id="80"/>
    <w:bookmarkStart w:id="82" w:name="ref-borcard2018"/>
    <w:p>
      <w:pPr>
        <w:pStyle w:val="Bibliographie"/>
      </w:pPr>
      <w:r>
        <w:t xml:space="preserve">23.</w:t>
      </w:r>
      <w:r>
        <w:t xml:space="preserve"> </w:t>
      </w:r>
      <w:r>
        <w:t xml:space="preserve">	</w:t>
      </w:r>
      <w:r>
        <w:t xml:space="preserve">Borcard, D., Gillet, F. &amp; Legendre, P.</w:t>
      </w:r>
      <w:r>
        <w:t xml:space="preserve"> </w:t>
      </w:r>
      <w:r>
        <w:rPr>
          <w:iCs/>
          <w:i/>
        </w:rPr>
        <w:t xml:space="preserve">Numerical ecology with R</w:t>
      </w:r>
      <w:r>
        <w:t xml:space="preserve">. (Springer International Publishing, Cham, 2018).doi:</w:t>
      </w:r>
      <w:hyperlink r:id="rId81">
        <w:r>
          <w:rPr>
            <w:rStyle w:val="Lienhypertexte"/>
          </w:rPr>
          <w:t xml:space="preserve">10.1007/978-3-319-71404-2</w:t>
        </w:r>
      </w:hyperlink>
    </w:p>
    <w:bookmarkEnd w:id="82"/>
    <w:bookmarkEnd w:id="83"/>
    <w:bookmarkEnd w:id="84"/>
    <w:bookmarkStart w:id="100"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86" name="Picture"/>
            <a:graphic>
              <a:graphicData uri="http://schemas.openxmlformats.org/drawingml/2006/picture">
                <pic:pic>
                  <pic:nvPicPr>
                    <pic:cNvPr descr="../03_figs/FigureA1.png" id="87" name="Picture"/>
                    <pic:cNvPicPr>
                      <a:picLocks noChangeArrowheads="1" noChangeAspect="1"/>
                    </pic:cNvPicPr>
                  </pic:nvPicPr>
                  <pic:blipFill>
                    <a:blip r:embed="rId85"/>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89" name="Picture"/>
            <a:graphic>
              <a:graphicData uri="http://schemas.openxmlformats.org/drawingml/2006/picture">
                <pic:pic>
                  <pic:nvPicPr>
                    <pic:cNvPr descr="../03_figs/FigureA2.png" id="90" name="Picture"/>
                    <pic:cNvPicPr>
                      <a:picLocks noChangeArrowheads="1" noChangeAspect="1"/>
                    </pic:cNvPicPr>
                  </pic:nvPicPr>
                  <pic:blipFill>
                    <a:blip r:embed="rId88"/>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aptionedFigure"/>
      </w:pPr>
      <w:r>
        <w:drawing>
          <wp:inline>
            <wp:extent cx="5486400" cy="2057399"/>
            <wp:effectExtent b="0" l="0" r="0" t="0"/>
            <wp:docPr descr="Figure A3: Superficies relatives des espèces d’arbres selon leur communauté, pour trois communautés écoforestières." title="" id="92" name="Picture"/>
            <a:graphic>
              <a:graphicData uri="http://schemas.openxmlformats.org/drawingml/2006/picture">
                <pic:pic>
                  <pic:nvPicPr>
                    <pic:cNvPr descr="../03_figs/graph_comm3.png" id="93" name="Picture"/>
                    <pic:cNvPicPr>
                      <a:picLocks noChangeArrowheads="1" noChangeAspect="1"/>
                    </pic:cNvPicPr>
                  </pic:nvPicPr>
                  <pic:blipFill>
                    <a:blip r:embed="rId91"/>
                    <a:stretch>
                      <a:fillRect/>
                    </a:stretch>
                  </pic:blipFill>
                  <pic:spPr bwMode="auto">
                    <a:xfrm>
                      <a:off x="0" y="0"/>
                      <a:ext cx="5486400" cy="2057399"/>
                    </a:xfrm>
                    <a:prstGeom prst="rect">
                      <a:avLst/>
                    </a:prstGeom>
                    <a:noFill/>
                    <a:ln w="9525">
                      <a:noFill/>
                      <a:headEnd/>
                      <a:tailEnd/>
                    </a:ln>
                  </pic:spPr>
                </pic:pic>
              </a:graphicData>
            </a:graphic>
          </wp:inline>
        </w:drawing>
      </w:r>
    </w:p>
    <w:p>
      <w:pPr>
        <w:pStyle w:val="ImageCaption"/>
      </w:pPr>
      <w:r>
        <w:t xml:space="preserve">Figure A3: Superficies relatives des espèces d’arbres selon leur communauté, pour trois communautés écoforestières.</w:t>
      </w:r>
    </w:p>
    <w:p>
      <w:pPr>
        <w:pStyle w:val="CaptionedFigure"/>
      </w:pPr>
      <w:r>
        <w:drawing>
          <wp:inline>
            <wp:extent cx="5486400" cy="5486400"/>
            <wp:effectExtent b="0" l="0" r="0" t="0"/>
            <wp:docPr descr="Figure A4: Superficies relatives des espèces d’arbres selon leur communauté, pour quatre communautés écoforestières." title="" id="95" name="Picture"/>
            <a:graphic>
              <a:graphicData uri="http://schemas.openxmlformats.org/drawingml/2006/picture">
                <pic:pic>
                  <pic:nvPicPr>
                    <pic:cNvPr descr="../03_figs/graph_comm4.png" id="96" name="Picture"/>
                    <pic:cNvPicPr>
                      <a:picLocks noChangeArrowheads="1" noChangeAspect="1"/>
                    </pic:cNvPicPr>
                  </pic:nvPicPr>
                  <pic:blipFill>
                    <a:blip r:embed="rId94"/>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A4: Superficies relatives des espèces d’arbres selon leur communauté, pour quatre communautés écoforestières.</w:t>
      </w:r>
    </w:p>
    <w:p>
      <w:pPr>
        <w:pStyle w:val="CaptionedFigure"/>
      </w:pPr>
      <w:r>
        <w:drawing>
          <wp:inline>
            <wp:extent cx="5486400" cy="4114799"/>
            <wp:effectExtent b="0" l="0" r="0" t="0"/>
            <wp:docPr descr="Figure A5: Superficies relatives des espèces d’arbres selon leur communauté, pour cinq communautés écoforestières." title="" id="98" name="Picture"/>
            <a:graphic>
              <a:graphicData uri="http://schemas.openxmlformats.org/drawingml/2006/picture">
                <pic:pic>
                  <pic:nvPicPr>
                    <pic:cNvPr descr="../03_figs/graph_comm5.png" id="99" name="Picture"/>
                    <pic:cNvPicPr>
                      <a:picLocks noChangeArrowheads="1" noChangeAspect="1"/>
                    </pic:cNvPicPr>
                  </pic:nvPicPr>
                  <pic:blipFill>
                    <a:blip r:embed="rId97"/>
                    <a:stretch>
                      <a:fillRect/>
                    </a:stretch>
                  </pic:blipFill>
                  <pic:spPr bwMode="auto">
                    <a:xfrm>
                      <a:off x="0" y="0"/>
                      <a:ext cx="5486400" cy="4114799"/>
                    </a:xfrm>
                    <a:prstGeom prst="rect">
                      <a:avLst/>
                    </a:prstGeom>
                    <a:noFill/>
                    <a:ln w="9525">
                      <a:noFill/>
                      <a:headEnd/>
                      <a:tailEnd/>
                    </a:ln>
                  </pic:spPr>
                </pic:pic>
              </a:graphicData>
            </a:graphic>
          </wp:inline>
        </w:drawing>
      </w:r>
    </w:p>
    <w:p>
      <w:pPr>
        <w:pStyle w:val="ImageCaption"/>
      </w:pPr>
      <w:r>
        <w:t xml:space="preserve">Figure A5: Superficies relatives des espèces d’arbres selon leur communauté, pour cinq communautés écoforestières.</w:t>
      </w:r>
    </w:p>
    <w:bookmarkEnd w:id="100"/>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66" Target="https://cran.r-project.org/web/packages/starsExtra/index.html" TargetMode="External" /><Relationship Type="http://schemas.openxmlformats.org/officeDocument/2006/relationships/hyperlink" Id="rId81" Target="https://doi.org/10.1007/978-3-319-71404-2" TargetMode="External" /><Relationship Type="http://schemas.openxmlformats.org/officeDocument/2006/relationships/hyperlink" Id="rId77" Target="https://doi.org/10.1007/s004420100716" TargetMode="External" /><Relationship Type="http://schemas.openxmlformats.org/officeDocument/2006/relationships/hyperlink" Id="rId72" Target="https://doi.org/10.1007/s10980-004-1296-6" TargetMode="External" /><Relationship Type="http://schemas.openxmlformats.org/officeDocument/2006/relationships/hyperlink" Id="rId70"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9" Target="https://doi.org/10.18637/jss.v103.i07" TargetMode="External" /><Relationship Type="http://schemas.openxmlformats.org/officeDocument/2006/relationships/hyperlink" Id="rId74" Target="https://doi.org/10.1890/0012-9615(1999)069[0001:DBRATM]2.0.CO;2" TargetMode="External" /><Relationship Type="http://schemas.openxmlformats.org/officeDocument/2006/relationships/hyperlink" Id="rId68" Target="https://doi.org/10.1890/07-1880.1"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66" Target="https://cran.r-project.org/web/packages/starsExtra/index.html" TargetMode="External" /><Relationship Type="http://schemas.openxmlformats.org/officeDocument/2006/relationships/hyperlink" Id="rId81" Target="https://doi.org/10.1007/978-3-319-71404-2" TargetMode="External" /><Relationship Type="http://schemas.openxmlformats.org/officeDocument/2006/relationships/hyperlink" Id="rId77" Target="https://doi.org/10.1007/s004420100716" TargetMode="External" /><Relationship Type="http://schemas.openxmlformats.org/officeDocument/2006/relationships/hyperlink" Id="rId72" Target="https://doi.org/10.1007/s10980-004-1296-6" TargetMode="External" /><Relationship Type="http://schemas.openxmlformats.org/officeDocument/2006/relationships/hyperlink" Id="rId70"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9" Target="https://doi.org/10.18637/jss.v103.i07" TargetMode="External" /><Relationship Type="http://schemas.openxmlformats.org/officeDocument/2006/relationships/hyperlink" Id="rId74" Target="https://doi.org/10.1890/0012-9615(1999)069[0001:DBRATM]2.0.CO;2" TargetMode="External" /><Relationship Type="http://schemas.openxmlformats.org/officeDocument/2006/relationships/hyperlink" Id="rId68" Target="https://doi.org/10.1890/07-1880.1"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2023-09-29T14:58:57Z</dcterms:created>
  <dcterms:modified xsi:type="dcterms:W3CDTF">2023-09-29T14:58:57Z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nature_doublespaced.csl</vt:lpwstr>
  </property>
  <property fmtid="{D5CDD505-2E9C-101B-9397-08002B2CF9AE}" pid="4" name="date">
    <vt:lpwstr>2023-09-29</vt:lpwstr>
  </property>
  <property fmtid="{D5CDD505-2E9C-101B-9397-08002B2CF9AE}" pid="5" name="output">
    <vt:lpwstr/>
  </property>
</Properties>
</file>